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632"/>
        <w:gridCol w:w="681"/>
        <w:gridCol w:w="1146"/>
        <w:gridCol w:w="1298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751" w:type="dxa"/>
            <w:gridSpan w:val="6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郑州铁路运输法院                                                                                                                                   送达地址确认书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4" w:type="dxa"/>
            <w:noWrap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案由</w:t>
            </w:r>
          </w:p>
        </w:tc>
        <w:tc>
          <w:tcPr>
            <w:tcW w:w="2313" w:type="dxa"/>
            <w:gridSpan w:val="2"/>
            <w:noWrap/>
          </w:tcPr>
          <w:p>
            <w:pPr>
              <w:jc w:val="center"/>
            </w:pP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一审案号</w:t>
            </w:r>
          </w:p>
        </w:tc>
        <w:tc>
          <w:tcPr>
            <w:tcW w:w="4238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        ）豫           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054" w:type="dxa"/>
            <w:noWrap/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告知事项</w:t>
            </w:r>
          </w:p>
        </w:tc>
        <w:tc>
          <w:tcPr>
            <w:tcW w:w="7697" w:type="dxa"/>
            <w:gridSpan w:val="5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一、依照最高人民法院《关于进一步加强民事送达工作的若干意见》，当事人应当按要求填写送达地址确认书。当事人变更送达地址，应当以书面形式告知人民法院。拒绝提供送达地址、提供虚假地址、提供地址不准确或者拒绝确认的，应当承担由此产生的法律后果（请认真阅读背面节选的相关内容）。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二、依照《中华人民共和国民事诉讼法》第九十条之规定，经受送达人同意，人民法院可以采用能够确认其收悉的电子方式送达诉讼文书。通过电子方式送达的判决书、裁定书、调解书，受送达人提出需要纸质文书的，人民法院应当提供。</w:t>
            </w:r>
          </w:p>
          <w:p>
            <w:pPr>
              <w:ind w:left="420" w:leftChars="200" w:firstLine="0" w:firstLineChars="0"/>
              <w:jc w:val="both"/>
            </w:pPr>
            <w:r>
              <w:rPr>
                <w:rFonts w:hint="eastAsia"/>
              </w:rPr>
              <w:t xml:space="preserve">采用前款方式送达的，以送达信息到达受送达人特定系统的日期为送达日期。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b/>
                <w:bCs/>
              </w:rPr>
              <w:t>你是否同意人民法院采用电子方式送达诉讼文书？   □同意 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54" w:type="dxa"/>
            <w:vMerge w:val="restart"/>
            <w:noWrap/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送达地址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当事人（诉讼代理人或代收人）</w:t>
            </w:r>
          </w:p>
        </w:tc>
        <w:tc>
          <w:tcPr>
            <w:tcW w:w="6065" w:type="dxa"/>
            <w:gridSpan w:val="4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送达地址</w:t>
            </w:r>
          </w:p>
        </w:tc>
        <w:tc>
          <w:tcPr>
            <w:tcW w:w="6065" w:type="dxa"/>
            <w:gridSpan w:val="4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电话（手机）</w:t>
            </w:r>
          </w:p>
        </w:tc>
        <w:tc>
          <w:tcPr>
            <w:tcW w:w="1827" w:type="dxa"/>
            <w:gridSpan w:val="2"/>
            <w:noWrap/>
          </w:tcPr>
          <w:p>
            <w:pPr>
              <w:jc w:val="center"/>
            </w:pPr>
          </w:p>
        </w:tc>
        <w:tc>
          <w:tcPr>
            <w:tcW w:w="129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940" w:type="dxa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电子送达方式</w:t>
            </w:r>
          </w:p>
        </w:tc>
        <w:tc>
          <w:tcPr>
            <w:tcW w:w="163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邮箱号</w:t>
            </w:r>
          </w:p>
        </w:tc>
        <w:tc>
          <w:tcPr>
            <w:tcW w:w="1827" w:type="dxa"/>
            <w:gridSpan w:val="2"/>
            <w:noWrap/>
          </w:tcPr>
          <w:p>
            <w:pPr>
              <w:jc w:val="center"/>
            </w:pPr>
          </w:p>
        </w:tc>
        <w:tc>
          <w:tcPr>
            <w:tcW w:w="129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微信、短信、QQ等即时通讯帐号</w:t>
            </w:r>
          </w:p>
        </w:tc>
        <w:tc>
          <w:tcPr>
            <w:tcW w:w="2940" w:type="dxa"/>
            <w:vMerge w:val="restart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27" w:type="dxa"/>
            <w:gridSpan w:val="2"/>
            <w:noWrap/>
          </w:tcPr>
          <w:p>
            <w:pPr>
              <w:jc w:val="center"/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</w:pPr>
          </w:p>
        </w:tc>
        <w:tc>
          <w:tcPr>
            <w:tcW w:w="294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的账户信息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可能退费须要</w:t>
            </w:r>
          </w:p>
        </w:tc>
        <w:tc>
          <w:tcPr>
            <w:tcW w:w="163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接收银行账号</w:t>
            </w:r>
          </w:p>
        </w:tc>
        <w:tc>
          <w:tcPr>
            <w:tcW w:w="6065" w:type="dxa"/>
            <w:gridSpan w:val="4"/>
            <w:noWrap/>
          </w:tcPr>
          <w:p>
            <w:pPr>
              <w:jc w:val="center"/>
            </w:pPr>
            <w:r>
              <w:rPr>
                <w:rFonts w:hint="eastAsia"/>
              </w:rPr>
              <w:t>（退费银行账号必须是当事人或法定代理人的银行账号）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开户行全称</w:t>
            </w:r>
          </w:p>
        </w:tc>
        <w:tc>
          <w:tcPr>
            <w:tcW w:w="6065" w:type="dxa"/>
            <w:gridSpan w:val="4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开户名</w:t>
            </w:r>
          </w:p>
        </w:tc>
        <w:tc>
          <w:tcPr>
            <w:tcW w:w="6065" w:type="dxa"/>
            <w:gridSpan w:val="4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054" w:type="dxa"/>
            <w:noWrap/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当事人确认</w:t>
            </w:r>
          </w:p>
        </w:tc>
        <w:tc>
          <w:tcPr>
            <w:tcW w:w="7697" w:type="dxa"/>
            <w:gridSpan w:val="5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我已经阅读（听明白）本确认书的告知事项，提供了上栏送达方式和地址及诉讼费退费账户信息，并保证所提供的送达地址和银行账号等各项内容是正确的、有效的。</w:t>
            </w:r>
          </w:p>
          <w:p>
            <w:pPr>
              <w:spacing w:line="480" w:lineRule="exact"/>
              <w:ind w:right="420" w:firstLine="3675" w:firstLineChars="1750"/>
            </w:pPr>
            <w:r>
              <w:rPr>
                <w:rFonts w:hint="eastAsia"/>
              </w:rPr>
              <w:t>当事人（签名或盖章）：</w:t>
            </w:r>
          </w:p>
          <w:p>
            <w:pPr>
              <w:spacing w:line="480" w:lineRule="exact"/>
              <w:ind w:right="420" w:firstLine="4725" w:firstLineChars="2250"/>
            </w:pPr>
            <w:r>
              <w:rPr>
                <w:rFonts w:hint="eastAsia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4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法院工作人员签名</w:t>
            </w:r>
          </w:p>
        </w:tc>
        <w:tc>
          <w:tcPr>
            <w:tcW w:w="2313" w:type="dxa"/>
            <w:gridSpan w:val="2"/>
            <w:vMerge w:val="restart"/>
            <w:noWrap/>
          </w:tcPr>
          <w:p>
            <w:pPr>
              <w:jc w:val="center"/>
            </w:pPr>
          </w:p>
        </w:tc>
        <w:tc>
          <w:tcPr>
            <w:tcW w:w="1146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238" w:type="dxa"/>
            <w:gridSpan w:val="2"/>
            <w:vMerge w:val="restart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</w:tcPr>
          <w:p/>
        </w:tc>
        <w:tc>
          <w:tcPr>
            <w:tcW w:w="2313" w:type="dxa"/>
            <w:gridSpan w:val="2"/>
            <w:vMerge w:val="continue"/>
          </w:tcPr>
          <w:p/>
        </w:tc>
        <w:tc>
          <w:tcPr>
            <w:tcW w:w="1146" w:type="dxa"/>
            <w:vMerge w:val="continue"/>
          </w:tcPr>
          <w:p/>
        </w:tc>
        <w:tc>
          <w:tcPr>
            <w:tcW w:w="4238" w:type="dxa"/>
            <w:gridSpan w:val="2"/>
            <w:vMerge w:val="continue"/>
          </w:tcPr>
          <w:p/>
        </w:tc>
      </w:tr>
    </w:tbl>
    <w:p>
      <w:pPr>
        <w:spacing w:line="56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最高人民法院《关于进一步加强民事送达工作的若干意见》(节选)</w:t>
      </w:r>
    </w:p>
    <w:p>
      <w:pPr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当事人提供的送达地址应当包括邮政编码、详细地址以及受送达人的联系电话等。同意电子送达的，应当提供并确认接收民事诉讼文书的传真号、电子信箱、微信号等电子送达地址。当事人委托诉讼代理人的，诉讼代理人确认的送达地址视为当事人的送达地址。</w:t>
      </w:r>
    </w:p>
    <w:p>
      <w:pPr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六、当事人在送达地址确认书中确认的送达地址，适用于第一审程序、第二审程序和执行程序。当事人变更送达地址，应当以书面方式告知人民法院。当事人未书面变更的，以其确认的地址为送达地址。</w:t>
      </w:r>
    </w:p>
    <w:p>
      <w:pPr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因当事人提供的送达地址不准确、拒不提供送达地址、送达地址变更未书面告知人民法院，导致民事诉讼文书未能被受送达人实际接收的，直接送达的，民事诉讼文书留在该地址之日为送达之日；邮寄送达的，文书被退回之日为送达之日。</w:t>
      </w:r>
    </w:p>
    <w:p>
      <w:pPr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八、当事人拒绝确认送达地址或以拒绝应诉、拒接电话、避而不见送达人员、搬离原住所等躲避、规避送达，人民法院不能或无法要求其确认送达地址的，可以分别以下列情形处理：</w:t>
      </w:r>
    </w:p>
    <w:p>
      <w:pPr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（一）当事人在诉讼所涉及的合同、往来函件中对送达地址有明确约定的，以约定的地址为送达地址；</w:t>
      </w:r>
    </w:p>
    <w:p>
      <w:pPr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（二）没有约定的，以当事人在诉讼中提交的书面材料中载明的自己的地址为送达地址；</w:t>
      </w:r>
    </w:p>
    <w:p>
      <w:pPr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（三）没有约定、当事人也未提交书面材料或者书面材料中未载明地址的，以一年内进行其他诉讼、仲裁案件中提供的地址为送达地址；</w:t>
      </w:r>
    </w:p>
    <w:p>
      <w:pPr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（四）无以上情形的，以当事人一年内进行民事活动时经常使用的地址为送达地址。人民法院按照上述地址进行送达的，可以同时以电话、微信等方式通知受送达人。</w:t>
      </w:r>
    </w:p>
    <w:p>
      <w:pPr>
        <w:spacing w:line="560" w:lineRule="exact"/>
        <w:ind w:firstLine="421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《中华人民共和国民事诉讼法》</w:t>
      </w:r>
      <w:r>
        <w:rPr>
          <w:rFonts w:hint="eastAsia" w:ascii="宋体" w:hAnsi="宋体"/>
          <w:szCs w:val="21"/>
        </w:rPr>
        <w:t>第</w:t>
      </w:r>
      <w:r>
        <w:rPr>
          <w:rFonts w:hint="default" w:ascii="宋体" w:hAnsi="宋体"/>
          <w:szCs w:val="21"/>
          <w:lang w:val="en"/>
        </w:rPr>
        <w:t>九十</w:t>
      </w:r>
      <w:r>
        <w:rPr>
          <w:rFonts w:hint="eastAsia" w:ascii="宋体" w:hAnsi="宋体"/>
          <w:szCs w:val="21"/>
        </w:rPr>
        <w:t>条  经受送达人同意，人民法院可以采用能够确认其收悉的电子方式送达诉讼文书。通过电子方式送达的判决书、裁定书、调解书，受送达人提出需要纸质文书的，人民法院应当提供。</w:t>
      </w:r>
    </w:p>
    <w:p>
      <w:pPr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采用前款方式送达的，以送达信息到达受送达人特定系统的日期为送达日期。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08"/>
    <w:rsid w:val="00057823"/>
    <w:rsid w:val="002B0DA5"/>
    <w:rsid w:val="002C0E9D"/>
    <w:rsid w:val="0031342D"/>
    <w:rsid w:val="00565789"/>
    <w:rsid w:val="006779AA"/>
    <w:rsid w:val="00CD2E15"/>
    <w:rsid w:val="00DB5921"/>
    <w:rsid w:val="00F40C83"/>
    <w:rsid w:val="00F52808"/>
    <w:rsid w:val="16FDE62E"/>
    <w:rsid w:val="1C7E552F"/>
    <w:rsid w:val="25FD45CE"/>
    <w:rsid w:val="3BF52467"/>
    <w:rsid w:val="57BF4061"/>
    <w:rsid w:val="5FFDFF52"/>
    <w:rsid w:val="667D4D57"/>
    <w:rsid w:val="6DBFF0D5"/>
    <w:rsid w:val="6F3B7FBF"/>
    <w:rsid w:val="77570A9C"/>
    <w:rsid w:val="77ED0579"/>
    <w:rsid w:val="7F9FD3F4"/>
    <w:rsid w:val="7FC7FCBD"/>
    <w:rsid w:val="9FBE16C9"/>
    <w:rsid w:val="B68AEFE4"/>
    <w:rsid w:val="BDBD548B"/>
    <w:rsid w:val="BE7F09D3"/>
    <w:rsid w:val="CD6BF209"/>
    <w:rsid w:val="DADF3174"/>
    <w:rsid w:val="E6FAAAEA"/>
    <w:rsid w:val="ECBECFA1"/>
    <w:rsid w:val="ED63B6E1"/>
    <w:rsid w:val="F1FA6A33"/>
    <w:rsid w:val="F77F49ED"/>
    <w:rsid w:val="F8AFCF27"/>
    <w:rsid w:val="FED93BC3"/>
    <w:rsid w:val="FEF601CE"/>
    <w:rsid w:val="FF7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230</Words>
  <Characters>1317</Characters>
  <Lines>10</Lines>
  <Paragraphs>3</Paragraphs>
  <TotalTime>7</TotalTime>
  <ScaleCrop>false</ScaleCrop>
  <LinksUpToDate>false</LinksUpToDate>
  <CharactersWithSpaces>1544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2020-03-31T18:21:00Z</dcterms:created>
  <dc:creator>吕珂</dc:creator>
  <cp:lastModifiedBy>huanghe</cp:lastModifiedBy>
  <cp:lastPrinted>2022-02-16T10:44:57Z</cp:lastPrinted>
  <dcterms:modified xsi:type="dcterms:W3CDTF">2022-02-16T10:58:53Z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